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11" w:rsidRPr="00095D43" w:rsidRDefault="00C72811" w:rsidP="00820EFC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C72811" w:rsidRPr="00095D43" w:rsidRDefault="00BC6DED" w:rsidP="00BC6DED">
      <w:pPr>
        <w:jc w:val="center"/>
        <w:rPr>
          <w:rFonts w:ascii="Arial" w:hAnsi="Arial" w:cs="Arial"/>
          <w:sz w:val="18"/>
          <w:szCs w:val="18"/>
        </w:rPr>
      </w:pPr>
      <w:r w:rsidRPr="00095D43">
        <w:rPr>
          <w:rFonts w:ascii="Arial" w:hAnsi="Arial" w:cs="Arial"/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811" w:rsidRPr="00095D43" w:rsidRDefault="00C72811" w:rsidP="00BC6DED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  <w:r w:rsidRPr="00095D43">
        <w:rPr>
          <w:rFonts w:ascii="Arial" w:hAnsi="Arial" w:cs="Arial"/>
          <w:sz w:val="18"/>
          <w:szCs w:val="18"/>
        </w:rPr>
        <w:tab/>
      </w:r>
      <w:r w:rsidRPr="00095D43">
        <w:rPr>
          <w:rFonts w:ascii="Arial" w:hAnsi="Arial" w:cs="Arial"/>
          <w:sz w:val="18"/>
          <w:szCs w:val="18"/>
        </w:rPr>
        <w:tab/>
      </w:r>
    </w:p>
    <w:p w:rsidR="00C72811" w:rsidRPr="00095D43" w:rsidRDefault="00C72811" w:rsidP="00820EFC">
      <w:pPr>
        <w:jc w:val="right"/>
        <w:rPr>
          <w:rFonts w:ascii="Arial" w:hAnsi="Arial" w:cs="Arial"/>
          <w:sz w:val="18"/>
          <w:szCs w:val="18"/>
        </w:rPr>
      </w:pPr>
    </w:p>
    <w:p w:rsidR="00873AB8" w:rsidRPr="00095D43" w:rsidRDefault="00873AB8" w:rsidP="00873AB8">
      <w:pPr>
        <w:jc w:val="right"/>
        <w:rPr>
          <w:rFonts w:ascii="Arial" w:hAnsi="Arial" w:cs="Arial"/>
          <w:sz w:val="18"/>
          <w:szCs w:val="18"/>
        </w:rPr>
      </w:pPr>
      <w:r w:rsidRPr="00095D43">
        <w:rPr>
          <w:rFonts w:ascii="Arial" w:hAnsi="Arial" w:cs="Arial"/>
          <w:sz w:val="18"/>
          <w:szCs w:val="18"/>
        </w:rPr>
        <w:t xml:space="preserve">Załącznik nr </w:t>
      </w:r>
      <w:r w:rsidR="007070BC" w:rsidRPr="00095D43">
        <w:rPr>
          <w:rFonts w:ascii="Arial" w:hAnsi="Arial" w:cs="Arial"/>
          <w:sz w:val="18"/>
          <w:szCs w:val="18"/>
        </w:rPr>
        <w:t>12</w:t>
      </w:r>
      <w:r w:rsidR="003C5E22" w:rsidRPr="00095D43">
        <w:rPr>
          <w:rFonts w:ascii="Arial" w:hAnsi="Arial" w:cs="Arial"/>
          <w:sz w:val="18"/>
          <w:szCs w:val="18"/>
        </w:rPr>
        <w:t xml:space="preserve"> </w:t>
      </w:r>
      <w:r w:rsidRPr="00095D43">
        <w:rPr>
          <w:rFonts w:ascii="Arial" w:hAnsi="Arial" w:cs="Arial"/>
          <w:sz w:val="18"/>
          <w:szCs w:val="18"/>
        </w:rPr>
        <w:t xml:space="preserve">do Regulaminu </w:t>
      </w:r>
      <w:r w:rsidRPr="00095D43">
        <w:rPr>
          <w:rFonts w:ascii="Arial" w:hAnsi="Arial" w:cs="Arial"/>
          <w:sz w:val="18"/>
          <w:szCs w:val="18"/>
        </w:rPr>
        <w:br/>
      </w:r>
      <w:r w:rsidR="001E7C5A" w:rsidRPr="00095D43">
        <w:rPr>
          <w:rFonts w:ascii="Arial" w:hAnsi="Arial" w:cs="Arial"/>
          <w:sz w:val="18"/>
          <w:szCs w:val="18"/>
        </w:rPr>
        <w:t>naboru</w:t>
      </w:r>
      <w:r w:rsidRPr="00095D43">
        <w:rPr>
          <w:rFonts w:ascii="Arial" w:hAnsi="Arial" w:cs="Arial"/>
          <w:sz w:val="18"/>
          <w:szCs w:val="18"/>
        </w:rPr>
        <w:t xml:space="preserve"> nr RPWM</w:t>
      </w:r>
      <w:r w:rsidR="00F16E82" w:rsidRPr="00095D43">
        <w:rPr>
          <w:rFonts w:ascii="Arial" w:hAnsi="Arial" w:cs="Arial"/>
          <w:sz w:val="18"/>
          <w:szCs w:val="18"/>
        </w:rPr>
        <w:t>.0</w:t>
      </w:r>
      <w:r w:rsidR="00980F53" w:rsidRPr="00095D43">
        <w:rPr>
          <w:rFonts w:ascii="Arial" w:hAnsi="Arial" w:cs="Arial"/>
          <w:sz w:val="18"/>
          <w:szCs w:val="18"/>
        </w:rPr>
        <w:t>6</w:t>
      </w:r>
      <w:r w:rsidR="00F16E82" w:rsidRPr="00095D43">
        <w:rPr>
          <w:rFonts w:ascii="Arial" w:hAnsi="Arial" w:cs="Arial"/>
          <w:sz w:val="18"/>
          <w:szCs w:val="18"/>
        </w:rPr>
        <w:t>.0</w:t>
      </w:r>
      <w:r w:rsidR="00980F53" w:rsidRPr="00095D43">
        <w:rPr>
          <w:rFonts w:ascii="Arial" w:hAnsi="Arial" w:cs="Arial"/>
          <w:sz w:val="18"/>
          <w:szCs w:val="18"/>
        </w:rPr>
        <w:t>2</w:t>
      </w:r>
      <w:r w:rsidR="00F62C37" w:rsidRPr="00095D43">
        <w:rPr>
          <w:rFonts w:ascii="Arial" w:hAnsi="Arial" w:cs="Arial"/>
          <w:sz w:val="18"/>
          <w:szCs w:val="18"/>
        </w:rPr>
        <w:t>.0</w:t>
      </w:r>
      <w:r w:rsidR="001E7C5A" w:rsidRPr="00095D43">
        <w:rPr>
          <w:rFonts w:ascii="Arial" w:hAnsi="Arial" w:cs="Arial"/>
          <w:sz w:val="18"/>
          <w:szCs w:val="18"/>
        </w:rPr>
        <w:t>3</w:t>
      </w:r>
      <w:r w:rsidR="00F62C37" w:rsidRPr="00095D43">
        <w:rPr>
          <w:rFonts w:ascii="Arial" w:hAnsi="Arial" w:cs="Arial"/>
          <w:sz w:val="18"/>
          <w:szCs w:val="18"/>
        </w:rPr>
        <w:t>-</w:t>
      </w:r>
      <w:r w:rsidR="003E1644" w:rsidRPr="00095D43">
        <w:rPr>
          <w:rFonts w:ascii="Arial" w:hAnsi="Arial" w:cs="Arial"/>
          <w:sz w:val="18"/>
          <w:szCs w:val="18"/>
        </w:rPr>
        <w:t>IZ</w:t>
      </w:r>
      <w:r w:rsidR="003765BE" w:rsidRPr="00095D43">
        <w:rPr>
          <w:rFonts w:ascii="Arial" w:hAnsi="Arial" w:cs="Arial"/>
          <w:sz w:val="18"/>
          <w:szCs w:val="18"/>
        </w:rPr>
        <w:t>.</w:t>
      </w:r>
      <w:r w:rsidRPr="00095D43">
        <w:rPr>
          <w:rFonts w:ascii="Arial" w:hAnsi="Arial" w:cs="Arial"/>
          <w:sz w:val="18"/>
          <w:szCs w:val="18"/>
        </w:rPr>
        <w:t>00-28-</w:t>
      </w:r>
      <w:r w:rsidR="002D7F26">
        <w:rPr>
          <w:rFonts w:ascii="Arial" w:hAnsi="Arial" w:cs="Arial"/>
          <w:sz w:val="18"/>
          <w:szCs w:val="18"/>
        </w:rPr>
        <w:t>00</w:t>
      </w:r>
      <w:r w:rsidR="00247D57">
        <w:rPr>
          <w:rFonts w:ascii="Arial" w:hAnsi="Arial" w:cs="Arial"/>
          <w:sz w:val="18"/>
          <w:szCs w:val="18"/>
        </w:rPr>
        <w:t>9</w:t>
      </w:r>
      <w:r w:rsidR="00980F53" w:rsidRPr="00095D43">
        <w:rPr>
          <w:rFonts w:ascii="Arial" w:hAnsi="Arial" w:cs="Arial"/>
          <w:sz w:val="18"/>
          <w:szCs w:val="18"/>
        </w:rPr>
        <w:t>/17</w:t>
      </w:r>
      <w:r w:rsidR="0068063E" w:rsidRPr="00095D43">
        <w:rPr>
          <w:rFonts w:ascii="Arial" w:hAnsi="Arial" w:cs="Arial"/>
          <w:sz w:val="18"/>
          <w:szCs w:val="18"/>
        </w:rPr>
        <w:t>(…)</w:t>
      </w:r>
      <w:r w:rsidR="00F16E82" w:rsidRPr="00095D43">
        <w:rPr>
          <w:rFonts w:ascii="Arial" w:hAnsi="Arial" w:cs="Arial"/>
          <w:sz w:val="18"/>
          <w:szCs w:val="18"/>
        </w:rPr>
        <w:br/>
        <w:t xml:space="preserve"> z</w:t>
      </w:r>
      <w:r w:rsidR="00190DBE">
        <w:rPr>
          <w:rFonts w:ascii="Arial" w:hAnsi="Arial" w:cs="Arial"/>
          <w:sz w:val="18"/>
          <w:szCs w:val="18"/>
        </w:rPr>
        <w:t xml:space="preserve"> </w:t>
      </w:r>
      <w:r w:rsidR="001777EA">
        <w:rPr>
          <w:rFonts w:ascii="Arial" w:hAnsi="Arial" w:cs="Arial"/>
          <w:sz w:val="18"/>
          <w:szCs w:val="18"/>
        </w:rPr>
        <w:t>……………….</w:t>
      </w:r>
      <w:r w:rsidRPr="00095D43">
        <w:rPr>
          <w:rFonts w:ascii="Arial" w:hAnsi="Arial" w:cs="Arial"/>
          <w:sz w:val="18"/>
          <w:szCs w:val="18"/>
        </w:rPr>
        <w:t>.</w:t>
      </w:r>
    </w:p>
    <w:p w:rsidR="00820EFC" w:rsidRPr="00095D43" w:rsidRDefault="00820EFC" w:rsidP="00820EFC">
      <w:pPr>
        <w:ind w:firstLine="4500"/>
        <w:jc w:val="right"/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A509A3" w:rsidRPr="00095D43" w:rsidRDefault="0046307F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095D43">
        <w:rPr>
          <w:rFonts w:ascii="Arial" w:hAnsi="Arial" w:cs="Arial"/>
          <w:b/>
        </w:rPr>
        <w:t xml:space="preserve">Karta z definicjami kryteriów wyboru </w:t>
      </w:r>
      <w:r w:rsidR="00B55C69" w:rsidRPr="00095D43">
        <w:rPr>
          <w:rFonts w:ascii="Arial" w:hAnsi="Arial" w:cs="Arial"/>
          <w:b/>
          <w:u w:val="single"/>
        </w:rPr>
        <w:t xml:space="preserve">projektów </w:t>
      </w:r>
      <w:r w:rsidR="001E7C5A" w:rsidRPr="00095D43">
        <w:rPr>
          <w:rFonts w:ascii="Arial" w:hAnsi="Arial" w:cs="Arial"/>
          <w:b/>
          <w:u w:val="single"/>
        </w:rPr>
        <w:t>pozakonkursowych</w:t>
      </w:r>
      <w:r w:rsidR="001E7C5A" w:rsidRPr="00095D43">
        <w:rPr>
          <w:rFonts w:ascii="Arial" w:hAnsi="Arial" w:cs="Arial"/>
          <w:b/>
        </w:rPr>
        <w:t xml:space="preserve"> </w:t>
      </w:r>
      <w:r w:rsidRPr="00095D43">
        <w:rPr>
          <w:rFonts w:ascii="Arial" w:hAnsi="Arial" w:cs="Arial"/>
          <w:b/>
        </w:rPr>
        <w:t xml:space="preserve">wraz z wymogami formalnymi </w:t>
      </w:r>
      <w:r w:rsidR="003F6E05" w:rsidRPr="00095D43">
        <w:rPr>
          <w:rFonts w:ascii="Arial" w:hAnsi="Arial" w:cs="Arial"/>
          <w:b/>
        </w:rPr>
        <w:t xml:space="preserve">w ramach </w:t>
      </w:r>
      <w:r w:rsidR="00980F53" w:rsidRPr="00095D43">
        <w:rPr>
          <w:rFonts w:ascii="Arial" w:hAnsi="Arial" w:cs="Arial"/>
          <w:b/>
        </w:rPr>
        <w:t>Działania 6.2</w:t>
      </w:r>
      <w:r w:rsidR="008E4F64" w:rsidRPr="00095D43">
        <w:rPr>
          <w:rFonts w:ascii="Arial" w:hAnsi="Arial" w:cs="Arial"/>
          <w:b/>
        </w:rPr>
        <w:t xml:space="preserve"> </w:t>
      </w:r>
      <w:r w:rsidR="00980F53" w:rsidRPr="00095D43">
        <w:rPr>
          <w:rFonts w:ascii="Arial" w:hAnsi="Arial" w:cs="Arial"/>
          <w:b/>
        </w:rPr>
        <w:t>Dziedzictwo naturalne</w:t>
      </w:r>
      <w:r w:rsidR="00921C05" w:rsidRPr="00095D43">
        <w:rPr>
          <w:rFonts w:ascii="Arial" w:hAnsi="Arial" w:cs="Arial"/>
          <w:b/>
        </w:rPr>
        <w:t xml:space="preserve"> </w:t>
      </w:r>
      <w:r w:rsidR="00980F53" w:rsidRPr="00095D43">
        <w:rPr>
          <w:rFonts w:ascii="Arial" w:hAnsi="Arial" w:cs="Arial"/>
          <w:b/>
        </w:rPr>
        <w:t>Poddziałania 6.2</w:t>
      </w:r>
      <w:r w:rsidR="001E7C5A" w:rsidRPr="00095D43">
        <w:rPr>
          <w:rFonts w:ascii="Arial" w:hAnsi="Arial" w:cs="Arial"/>
          <w:b/>
        </w:rPr>
        <w:t>.3</w:t>
      </w:r>
      <w:r w:rsidR="008E4F64" w:rsidRPr="00095D43">
        <w:rPr>
          <w:rFonts w:ascii="Arial" w:hAnsi="Arial" w:cs="Arial"/>
          <w:b/>
        </w:rPr>
        <w:t xml:space="preserve"> </w:t>
      </w:r>
      <w:r w:rsidR="00980F53" w:rsidRPr="00095D43">
        <w:rPr>
          <w:rFonts w:ascii="Arial" w:hAnsi="Arial" w:cs="Arial"/>
          <w:b/>
        </w:rPr>
        <w:t xml:space="preserve"> </w:t>
      </w:r>
      <w:r w:rsidR="001E7C5A" w:rsidRPr="00095D43">
        <w:rPr>
          <w:rFonts w:ascii="Arial" w:hAnsi="Arial" w:cs="Arial"/>
          <w:b/>
        </w:rPr>
        <w:t xml:space="preserve">Efektywne wykorzystanie zasobów (Schemat </w:t>
      </w:r>
      <w:r w:rsidR="00247D57">
        <w:rPr>
          <w:rFonts w:ascii="Arial" w:hAnsi="Arial" w:cs="Arial"/>
          <w:b/>
        </w:rPr>
        <w:t>B</w:t>
      </w:r>
      <w:bookmarkStart w:id="4" w:name="_GoBack"/>
      <w:bookmarkEnd w:id="4"/>
      <w:r w:rsidR="001E7C5A" w:rsidRPr="00095D43">
        <w:rPr>
          <w:rFonts w:ascii="Arial" w:hAnsi="Arial" w:cs="Arial"/>
          <w:b/>
        </w:rPr>
        <w:t>)</w:t>
      </w:r>
      <w:r w:rsidR="00980F53" w:rsidRPr="00095D43">
        <w:rPr>
          <w:rFonts w:ascii="Arial" w:hAnsi="Arial" w:cs="Arial"/>
          <w:b/>
        </w:rPr>
        <w:t xml:space="preserve"> </w:t>
      </w:r>
      <w:r w:rsidR="00C348D8" w:rsidRPr="00095D43">
        <w:rPr>
          <w:rFonts w:ascii="Arial" w:hAnsi="Arial" w:cs="Arial"/>
          <w:b/>
        </w:rPr>
        <w:t>Regionalnego Programu Operacyjnego Województwa Warmińsko-Mazurskiego na lata 2014-2020</w:t>
      </w:r>
    </w:p>
    <w:tbl>
      <w:tblPr>
        <w:tblpPr w:leftFromText="141" w:rightFromText="141" w:vertAnchor="text" w:horzAnchor="margin" w:tblpY="248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2"/>
        <w:gridCol w:w="3077"/>
        <w:gridCol w:w="7079"/>
        <w:gridCol w:w="3545"/>
      </w:tblGrid>
      <w:tr w:rsidR="00A509A3" w:rsidRPr="00095D43" w:rsidTr="00ED1A63">
        <w:trPr>
          <w:trHeight w:val="890"/>
        </w:trPr>
        <w:tc>
          <w:tcPr>
            <w:tcW w:w="5000" w:type="pct"/>
            <w:gridSpan w:val="4"/>
            <w:shd w:val="clear" w:color="auto" w:fill="B2A1C7"/>
          </w:tcPr>
          <w:p w:rsidR="00A509A3" w:rsidRPr="00095D43" w:rsidRDefault="00A509A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95D43">
              <w:rPr>
                <w:rFonts w:ascii="Arial" w:hAnsi="Arial" w:cs="Arial"/>
                <w:b/>
                <w:bCs/>
                <w:szCs w:val="20"/>
              </w:rPr>
              <w:t xml:space="preserve">WYMOGI FORMALNE WYBORU PROJEKTÓW </w:t>
            </w:r>
            <w:r w:rsidR="004555BF">
              <w:rPr>
                <w:rFonts w:ascii="Arial" w:hAnsi="Arial" w:cs="Arial"/>
                <w:b/>
                <w:bCs/>
                <w:szCs w:val="20"/>
              </w:rPr>
              <w:t>POZA</w:t>
            </w:r>
            <w:r w:rsidRPr="00095D43">
              <w:rPr>
                <w:rFonts w:ascii="Arial" w:hAnsi="Arial" w:cs="Arial"/>
                <w:b/>
                <w:bCs/>
                <w:szCs w:val="20"/>
              </w:rPr>
              <w:t>KONKURSOWYCH W RAMACH REGIONALNEGO PROGRAMU OPERACYJNEGO WOJEWÓDZTWA WARMIŃSKO-MAZURSKIEGO NA LATA 2014-2020</w:t>
            </w:r>
          </w:p>
          <w:p w:rsidR="00A509A3" w:rsidRPr="00095D43" w:rsidRDefault="004555BF" w:rsidP="004555BF">
            <w:pPr>
              <w:autoSpaceDE w:val="0"/>
              <w:autoSpaceDN w:val="0"/>
              <w:adjustRightInd w:val="0"/>
              <w:spacing w:before="120" w:after="120"/>
              <w:ind w:firstLine="36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W trybie pozakonkursowym instytucja może określić tryb uzupełnienia wniosku o dofinansowanie. W przypadku braku uzupełnienia wniosku lub niezłożenia wymaganych wyjaśnień projekt nie zostaje dopuszczony do oceny lub dalszej oceny.</w:t>
            </w:r>
            <w:r w:rsidR="00A509A3" w:rsidRPr="00095D43">
              <w:rPr>
                <w:rFonts w:ascii="Arial" w:hAnsi="Arial" w:cs="Arial"/>
                <w:bCs/>
                <w:i/>
              </w:rPr>
              <w:t xml:space="preserve"> </w:t>
            </w:r>
          </w:p>
        </w:tc>
      </w:tr>
      <w:tr w:rsidR="00A509A3" w:rsidRPr="00095D43" w:rsidTr="00ED1A63">
        <w:trPr>
          <w:trHeight w:val="429"/>
        </w:trPr>
        <w:tc>
          <w:tcPr>
            <w:tcW w:w="204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  <w:r w:rsidRPr="00095D43">
              <w:rPr>
                <w:rFonts w:ascii="Arial" w:eastAsia="Calibri" w:hAnsi="Arial" w:cs="Arial"/>
                <w:b/>
                <w:iCs/>
              </w:rPr>
              <w:t>Lp.</w:t>
            </w:r>
          </w:p>
        </w:tc>
        <w:tc>
          <w:tcPr>
            <w:tcW w:w="1077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  <w:r w:rsidRPr="00095D43">
              <w:rPr>
                <w:rFonts w:ascii="Arial" w:eastAsia="Calibri" w:hAnsi="Arial" w:cs="Arial"/>
                <w:b/>
                <w:iCs/>
              </w:rPr>
              <w:t>Nazwa wymogu</w:t>
            </w:r>
          </w:p>
        </w:tc>
        <w:tc>
          <w:tcPr>
            <w:tcW w:w="2478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  <w:r w:rsidRPr="00095D43">
              <w:rPr>
                <w:rFonts w:ascii="Arial" w:eastAsia="Calibri" w:hAnsi="Arial" w:cs="Arial"/>
                <w:b/>
                <w:iCs/>
              </w:rPr>
              <w:t>Definicja warunku</w:t>
            </w:r>
          </w:p>
        </w:tc>
        <w:tc>
          <w:tcPr>
            <w:tcW w:w="1241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hAnsi="Arial" w:cs="Arial"/>
                <w:b/>
                <w:strike/>
              </w:rPr>
            </w:pPr>
            <w:r w:rsidRPr="00095D43">
              <w:rPr>
                <w:rFonts w:ascii="Arial" w:hAnsi="Arial" w:cs="Arial"/>
                <w:b/>
                <w:bCs/>
                <w:iCs/>
              </w:rPr>
              <w:t>Opis warunku</w:t>
            </w:r>
          </w:p>
        </w:tc>
      </w:tr>
      <w:tr w:rsidR="00A509A3" w:rsidRPr="00095D43" w:rsidTr="00A509A3">
        <w:trPr>
          <w:trHeight w:val="516"/>
        </w:trPr>
        <w:tc>
          <w:tcPr>
            <w:tcW w:w="204" w:type="pct"/>
            <w:vMerge/>
            <w:shd w:val="clear" w:color="auto" w:fill="B2A1C7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</w:p>
        </w:tc>
        <w:tc>
          <w:tcPr>
            <w:tcW w:w="1077" w:type="pct"/>
            <w:vMerge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</w:p>
        </w:tc>
        <w:tc>
          <w:tcPr>
            <w:tcW w:w="2478" w:type="pct"/>
            <w:vMerge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</w:p>
        </w:tc>
        <w:tc>
          <w:tcPr>
            <w:tcW w:w="1241" w:type="pct"/>
            <w:vMerge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hAnsi="Arial" w:cs="Arial"/>
                <w:b/>
                <w:strike/>
              </w:rPr>
            </w:pPr>
          </w:p>
        </w:tc>
      </w:tr>
      <w:tr w:rsidR="00A509A3" w:rsidRPr="00095D43" w:rsidTr="00A509A3">
        <w:trPr>
          <w:trHeight w:val="1333"/>
        </w:trPr>
        <w:tc>
          <w:tcPr>
            <w:tcW w:w="204" w:type="pct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1077" w:type="pct"/>
            <w:vAlign w:val="center"/>
          </w:tcPr>
          <w:p w:rsidR="00A509A3" w:rsidRPr="00095D43" w:rsidRDefault="00A509A3" w:rsidP="00F308F0">
            <w:pPr>
              <w:autoSpaceDE w:val="0"/>
              <w:autoSpaceDN w:val="0"/>
              <w:adjustRightInd w:val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Kompletność wniosku</w:t>
            </w:r>
          </w:p>
        </w:tc>
        <w:tc>
          <w:tcPr>
            <w:tcW w:w="2478" w:type="pct"/>
            <w:vAlign w:val="center"/>
          </w:tcPr>
          <w:p w:rsidR="00A509A3" w:rsidRPr="00095D43" w:rsidRDefault="00A509A3" w:rsidP="00ED1A6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Wniosek o dofinansowanie jest kompletny, spójny i sporządzony zgodnie z</w:t>
            </w:r>
            <w:r w:rsidR="00ED1A63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instrukcją wypełniania wniosku o dofinansowanie i regulaminem </w:t>
            </w:r>
            <w:r w:rsidR="004555BF">
              <w:rPr>
                <w:rFonts w:ascii="Arial" w:eastAsia="Calibri" w:hAnsi="Arial" w:cs="Arial"/>
                <w:sz w:val="20"/>
                <w:szCs w:val="20"/>
              </w:rPr>
              <w:t>naboru</w:t>
            </w: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1" w:type="pct"/>
            <w:vAlign w:val="center"/>
          </w:tcPr>
          <w:p w:rsidR="00A509A3" w:rsidRPr="00095D43" w:rsidRDefault="00A509A3" w:rsidP="00ED1A6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Wymóg formalny  zerojedynkowy.</w:t>
            </w:r>
          </w:p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Ocena spełniania wymogu polega na</w:t>
            </w:r>
            <w:r w:rsidR="00ED1A63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  <w:szCs w:val="20"/>
              </w:rPr>
              <w:t>przypisaniu im wartości logicznych „tak” lub „nie”.</w:t>
            </w:r>
          </w:p>
        </w:tc>
      </w:tr>
      <w:tr w:rsidR="00A509A3" w:rsidRPr="00095D43" w:rsidTr="00ED1A63">
        <w:trPr>
          <w:trHeight w:val="558"/>
        </w:trPr>
        <w:tc>
          <w:tcPr>
            <w:tcW w:w="204" w:type="pct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1077" w:type="pct"/>
            <w:vAlign w:val="center"/>
          </w:tcPr>
          <w:p w:rsidR="00A509A3" w:rsidRPr="00095D43" w:rsidRDefault="00A509A3" w:rsidP="00F308F0">
            <w:pPr>
              <w:autoSpaceDE w:val="0"/>
              <w:autoSpaceDN w:val="0"/>
              <w:adjustRightInd w:val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Kompletność załączników</w:t>
            </w:r>
          </w:p>
        </w:tc>
        <w:tc>
          <w:tcPr>
            <w:tcW w:w="2478" w:type="pct"/>
            <w:vAlign w:val="center"/>
          </w:tcPr>
          <w:p w:rsidR="00A509A3" w:rsidRPr="00095D43" w:rsidRDefault="00A509A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Załączniki do wniosku o dofinansowanie są kompletne, spójne i sporządzone zgodnie z instrukcją wypełniania załączników i regulaminem </w:t>
            </w:r>
            <w:r w:rsidR="004555BF">
              <w:rPr>
                <w:rFonts w:ascii="Arial" w:hAnsi="Arial" w:cs="Arial"/>
                <w:sz w:val="20"/>
                <w:szCs w:val="20"/>
              </w:rPr>
              <w:t>nabor</w:t>
            </w:r>
            <w:r w:rsidRPr="00095D43">
              <w:rPr>
                <w:rFonts w:ascii="Arial" w:hAnsi="Arial" w:cs="Arial"/>
                <w:sz w:val="20"/>
                <w:szCs w:val="20"/>
              </w:rPr>
              <w:t>u.</w:t>
            </w:r>
          </w:p>
        </w:tc>
        <w:tc>
          <w:tcPr>
            <w:tcW w:w="1241" w:type="pct"/>
            <w:vAlign w:val="center"/>
          </w:tcPr>
          <w:p w:rsidR="00A509A3" w:rsidRPr="00095D43" w:rsidRDefault="00A509A3" w:rsidP="00ED1A6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Wymóg formalny zerojedynkowy.</w:t>
            </w:r>
          </w:p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Ocena spełniania wymogu polega na</w:t>
            </w:r>
            <w:r w:rsidR="00ED1A63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  <w:szCs w:val="20"/>
              </w:rPr>
              <w:t>przypisaniu im wartości logicznych „tak” lub „nie”.</w:t>
            </w:r>
          </w:p>
        </w:tc>
      </w:tr>
    </w:tbl>
    <w:p w:rsidR="00686D4F" w:rsidRPr="00095D43" w:rsidRDefault="00686D4F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p w:rsidR="00A509A3" w:rsidRPr="00095D43" w:rsidRDefault="00A509A3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="-41" w:tblpY="1"/>
        <w:tblOverlap w:val="never"/>
        <w:tblW w:w="13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2928"/>
        <w:gridCol w:w="6225"/>
        <w:gridCol w:w="3944"/>
      </w:tblGrid>
      <w:tr w:rsidR="00095D43" w:rsidRPr="00095D43" w:rsidTr="00ED1A63">
        <w:tc>
          <w:tcPr>
            <w:tcW w:w="13537" w:type="dxa"/>
            <w:gridSpan w:val="4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FORMALNE WYBORU PROJEKTÓW (OBLIGATORYJNE)</w:t>
            </w:r>
          </w:p>
        </w:tc>
      </w:tr>
      <w:tr w:rsidR="00095D43" w:rsidRPr="00095D43" w:rsidTr="00095D43">
        <w:trPr>
          <w:trHeight w:val="364"/>
        </w:trPr>
        <w:tc>
          <w:tcPr>
            <w:tcW w:w="440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28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6225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Definicja kryterium</w:t>
            </w:r>
          </w:p>
        </w:tc>
        <w:tc>
          <w:tcPr>
            <w:tcW w:w="3944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095D43">
              <w:rPr>
                <w:rFonts w:ascii="Arial" w:eastAsia="Calibri" w:hAnsi="Arial" w:cs="Arial"/>
                <w:b/>
                <w:sz w:val="20"/>
              </w:rPr>
              <w:t>Opis kryterium</w:t>
            </w:r>
          </w:p>
        </w:tc>
      </w:tr>
      <w:tr w:rsidR="00095D43" w:rsidRPr="00095D43" w:rsidTr="00095D43">
        <w:trPr>
          <w:trHeight w:val="444"/>
        </w:trPr>
        <w:tc>
          <w:tcPr>
            <w:tcW w:w="440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8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6225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944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napToGrid w:val="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</w:rPr>
            </w:pPr>
          </w:p>
        </w:tc>
      </w:tr>
      <w:tr w:rsidR="00095D43" w:rsidRPr="00095D43" w:rsidTr="00ED1A63">
        <w:trPr>
          <w:trHeight w:val="2073"/>
        </w:trPr>
        <w:tc>
          <w:tcPr>
            <w:tcW w:w="440" w:type="dxa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Projekt znajduje się w Wykazie projektów zidentyfikowanych przez IZ RPO WiM w ramach trybu pozakonkursowego stanowiącym załącznik do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SZOOP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Weryfikowane będzie czy dany projekt znajduje się w załączniku do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SZOOP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Spełnienie kryterium jest konieczne do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przyznania dofinansowania.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Kwalifikowanie się projektu w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ramach danego działania /poddziałania zgodnie z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zapisami SZOOP i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Regulaminu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F308F0">
            <w:pPr>
              <w:keepNext/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Projekt wpisuje się w założenia określone w SZOOP i regulaminie, a</w:t>
            </w:r>
            <w:r w:rsidR="00F308F0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przyjęte założenia projektu kwalifikują go do wsparcia w ramach konkursu, w ramach którego został on złożony, w szczególności  projekt mieści się w katalogu możliwych do realizacji typów projektów w danym działaniu, wskazanych w regulaminie naboru.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Nie podleganie wykluczeniu z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 możliwości ubiegania się 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dofinansowanie ze środków UE na podstawie odrębnych przepisów.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Wnioskodawca oraz partnerzy (o ile dotyczy) nie podlegają wykluczeniu z możliwości otrzymania dofinansowania, w tym wykluczeniu, o którym mowa w:</w:t>
            </w:r>
          </w:p>
          <w:p w:rsidR="00095D43" w:rsidRPr="00095D43" w:rsidRDefault="00095D43" w:rsidP="00ED1A63">
            <w:pPr>
              <w:keepNext/>
              <w:numPr>
                <w:ilvl w:val="0"/>
                <w:numId w:val="16"/>
              </w:numPr>
              <w:tabs>
                <w:tab w:val="left" w:pos="0"/>
              </w:tabs>
              <w:suppressAutoHyphens/>
              <w:snapToGrid w:val="0"/>
              <w:spacing w:before="120" w:line="288" w:lineRule="auto"/>
              <w:ind w:left="419" w:hanging="357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ustawie z dnia 27 sierpnia 2009 r. o finansach publicznych;</w:t>
            </w:r>
          </w:p>
          <w:p w:rsidR="00095D43" w:rsidRPr="00095D43" w:rsidRDefault="00095D43" w:rsidP="00ED1A63">
            <w:pPr>
              <w:numPr>
                <w:ilvl w:val="0"/>
                <w:numId w:val="16"/>
              </w:numPr>
              <w:suppressAutoHyphens/>
              <w:spacing w:before="120" w:line="288" w:lineRule="auto"/>
              <w:ind w:left="419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ustawie z dnia 15 czerwca 2012 r. o skutkach powierzania wykonywania pracy cudzoziemcom przebywającym wbrew przepisom na terytorium Rzeczpospolitej Polskiej</w:t>
            </w:r>
          </w:p>
          <w:p w:rsidR="00095D43" w:rsidRPr="00095D43" w:rsidRDefault="00095D43" w:rsidP="00ED1A63">
            <w:pPr>
              <w:keepNext/>
              <w:numPr>
                <w:ilvl w:val="0"/>
                <w:numId w:val="16"/>
              </w:numPr>
              <w:suppressAutoHyphens/>
              <w:snapToGrid w:val="0"/>
              <w:spacing w:before="120" w:after="120" w:line="288" w:lineRule="auto"/>
              <w:ind w:left="419" w:hanging="357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ustawie z dnia 28 października 2002 r. o odpowiedzialności podmiotów zbiorowych za czyny zabronione pod groźbą kary.</w:t>
            </w:r>
          </w:p>
          <w:p w:rsidR="00095D43" w:rsidRPr="00095D43" w:rsidRDefault="00095D43" w:rsidP="00ED1A63">
            <w:pPr>
              <w:keepNext/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weryfikowane na podstawie oświadczenia wnioskodawcy i partnerów, (jeśli dotyczy).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Wartość projektu oraz poziom dofinansowania projektu.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:rsidR="00095D43" w:rsidRPr="00095D43" w:rsidRDefault="00095D43" w:rsidP="00F308F0">
            <w:pPr>
              <w:keepNext/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Wartość projektu i jego poziom dofinansowania są zgodne z</w:t>
            </w:r>
            <w:r w:rsidR="00F308F0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minimalną i maksymalną wartością projektu oraz minimalnym i</w:t>
            </w:r>
            <w:r w:rsidR="00F308F0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maksymalnym poziomem dofinansowania obowiązującymi dla danego działania/poddziałania/typu projektu określonymi w SZOOP oraz w regulaminie naboru.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 albo stwierdzeniu, że kryterium nie dotyczy danego projektu</w:t>
            </w:r>
            <w:r w:rsidRPr="00095D43"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 xml:space="preserve"> </w:t>
            </w:r>
          </w:p>
          <w:p w:rsidR="00095D43" w:rsidRPr="00095D43" w:rsidRDefault="00095D43" w:rsidP="00F308F0">
            <w:pPr>
              <w:keepNext/>
              <w:tabs>
                <w:tab w:val="left" w:pos="435"/>
              </w:tabs>
              <w:snapToGrid w:val="0"/>
              <w:spacing w:before="120" w:after="120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>Spełnienie wymogów w</w:t>
            </w:r>
            <w:r w:rsidR="00F308F0">
              <w:rPr>
                <w:rFonts w:ascii="Arial" w:eastAsia="Calibri" w:hAnsi="Arial" w:cs="Arial"/>
                <w:color w:val="000000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color w:val="000000"/>
                <w:sz w:val="20"/>
              </w:rPr>
              <w:t>odniesieniu do projektu partnerskiego.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>Weryfikowane będzie spełnienie przez Wnioskodawcę wymogów w</w:t>
            </w:r>
            <w:r w:rsidR="00ED1A63">
              <w:rPr>
                <w:rFonts w:ascii="Arial" w:eastAsia="Calibri" w:hAnsi="Arial" w:cs="Arial"/>
                <w:color w:val="000000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color w:val="000000"/>
                <w:sz w:val="20"/>
              </w:rPr>
              <w:t>zakresie utworzenia partnerstwa zgodnie z ustawą wdrożeniową.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>Kryterium będzie weryfikowane na podstawie zawartego i</w:t>
            </w:r>
            <w:r w:rsidR="00F308F0">
              <w:rPr>
                <w:rFonts w:ascii="Arial" w:eastAsia="Calibri" w:hAnsi="Arial" w:cs="Arial"/>
                <w:color w:val="000000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color w:val="000000"/>
                <w:sz w:val="20"/>
              </w:rPr>
              <w:t>dołączonego do wniosku o dofinansowanie porozumienia lub / oraz umowy wnioskodawcy oraz treści wniosku o dofinansowanie.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 albo stwierdzeniu, że kryterium nie dotyczy danego projektu.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Uprawnienia podmiotu do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ubiegania się 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dofinansowanie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Weryfikowana będzie zgodność formy prawnej Wnioskodawcy/partnera (jeśli dotyczy) z typem beneficjentów wskazanym w SZOOP i regulaminie naboru.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Obszar realizacji projektu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Weryfikowane będzie czy wskazany obszar realizacji projektu jest zgodny ze wskazanym w  SZOOP  i regulaminie naboru.  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„tak”,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lastRenderedPageBreak/>
              <w:t>W przypadku niespełnienia kryterium wnioskodawca zostanie wezwany do</w:t>
            </w:r>
            <w:r w:rsidR="00ED1A63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  <w:szCs w:val="20"/>
              </w:rPr>
              <w:t>poprawienia/uzupełnienia dokumentów we wskazanym terminie.</w:t>
            </w:r>
          </w:p>
        </w:tc>
      </w:tr>
    </w:tbl>
    <w:p w:rsidR="00A509A3" w:rsidRPr="00095D43" w:rsidRDefault="00A509A3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p w:rsidR="00A509A3" w:rsidRPr="00095D43" w:rsidRDefault="00A509A3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p w:rsidR="00095D43" w:rsidRPr="00095D43" w:rsidRDefault="00095D43" w:rsidP="00183DE7">
      <w:pPr>
        <w:rPr>
          <w:rFonts w:ascii="Arial" w:hAnsi="Arial" w:cs="Arial"/>
          <w:bCs/>
          <w:i/>
          <w:sz w:val="22"/>
          <w:szCs w:val="28"/>
        </w:rPr>
      </w:pPr>
    </w:p>
    <w:p w:rsidR="00095D43" w:rsidRPr="00095D43" w:rsidRDefault="00095D43" w:rsidP="00183DE7">
      <w:pPr>
        <w:rPr>
          <w:rFonts w:ascii="Arial" w:hAnsi="Arial" w:cs="Arial"/>
          <w:bCs/>
          <w:i/>
          <w:sz w:val="22"/>
          <w:szCs w:val="28"/>
        </w:rPr>
      </w:pPr>
    </w:p>
    <w:p w:rsidR="00095D43" w:rsidRPr="00095D43" w:rsidRDefault="00095D43" w:rsidP="00183DE7">
      <w:pPr>
        <w:rPr>
          <w:rFonts w:ascii="Arial" w:hAnsi="Arial" w:cs="Arial"/>
          <w:bCs/>
          <w:i/>
          <w:sz w:val="22"/>
          <w:szCs w:val="28"/>
        </w:rPr>
      </w:pPr>
    </w:p>
    <w:p w:rsidR="00E10EDD" w:rsidRPr="00095D43" w:rsidRDefault="00183DE7" w:rsidP="00183DE7">
      <w:pPr>
        <w:rPr>
          <w:rFonts w:ascii="Arial" w:hAnsi="Arial" w:cs="Arial"/>
          <w:i/>
          <w:sz w:val="18"/>
          <w:szCs w:val="22"/>
        </w:rPr>
      </w:pPr>
      <w:r w:rsidRPr="00095D43">
        <w:rPr>
          <w:rFonts w:ascii="Arial" w:hAnsi="Arial" w:cs="Arial"/>
          <w:bCs/>
          <w:i/>
          <w:sz w:val="22"/>
          <w:szCs w:val="28"/>
        </w:rPr>
        <w:t>*</w:t>
      </w:r>
      <w:r w:rsidRPr="00095D43">
        <w:rPr>
          <w:rFonts w:ascii="Arial" w:hAnsi="Arial" w:cs="Arial"/>
          <w:i/>
          <w:sz w:val="18"/>
          <w:szCs w:val="22"/>
        </w:rPr>
        <w:t xml:space="preserve"> Projekty niespełniające kryteriów merytorycznych ogólnych i kryteriów merytorycznych specyficznych obligatoryjnych są odrzucane i nie podlegają dalszej ocenie.</w:t>
      </w:r>
    </w:p>
    <w:p w:rsid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801"/>
        <w:gridCol w:w="6443"/>
        <w:gridCol w:w="4508"/>
      </w:tblGrid>
      <w:tr w:rsidR="00095D43" w:rsidRPr="00095D43" w:rsidTr="00ED1A63">
        <w:trPr>
          <w:jc w:val="center"/>
        </w:trPr>
        <w:tc>
          <w:tcPr>
            <w:tcW w:w="5000" w:type="pct"/>
            <w:gridSpan w:val="4"/>
            <w:shd w:val="clear" w:color="auto" w:fill="B2A1C7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KRYTERIA MERYTORYCZNE OGÓLNE WYBORU PROJEKTÓW (OBLIGATORYJNE)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013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289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Definicja kryterium</w:t>
            </w:r>
          </w:p>
        </w:tc>
        <w:tc>
          <w:tcPr>
            <w:tcW w:w="1611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Opis kryterium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suppressAutoHyphens/>
              <w:spacing w:before="120" w:after="120" w:line="288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Możliwość uzyskania dofinansowania przez projekt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możliwość uzyskania dofinansowania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podstawie analizy wniosku i studium wykonalności.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Ocena spełniania kryteriów  polega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Zgodność projektu z zasadą równości szans kobiet i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mężczyzn</w:t>
            </w:r>
          </w:p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Weryfikowany będzie pozytywny lub neutralny wpływ projektu na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zasadę horyzontalną UE: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- promowanie równości szans kobiet i mężczyzn oraz niedyskryminacji, zgodnie z art. 7 Rozporządzenia Parlamentu Europejskiego i Rady (UE) nr 1303/2013 z dnia 17 grudnia 2013 r. oraz Wytycznymi w zakresie realizacji zasady równości szans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niedyskryminacji, w tym dostępności dla osób z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niepełnosprawnościami oraz zasady równości szans kobiet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mężczyzn w ramach funduszy unijnych na lata 2014-2020.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Ocena spełniania kryteriów  polega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Zgodność projektu z zasadą równości szans i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niedyskryminacji w tym dostępności dla osób z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niepełnosprawnościami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Weryfikowany będzie pozytywny wpływ projektu na zasadę horyzontalną UE: promowanie równości szans i niedyskryminacji w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tym dostępności dla osób z niepełnosprawnościami, zgodnie z art. 7 Rozporządzenia Parlamentu Europejskiego i Rady (UE) nr 1303/2013 z dnia 17 grudnia 2013 r. oraz z Wytycznymi w zakresie realizacji zasady równości szans i niedyskryminacji, w tym dostępności dla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osób z niepełnosprawnościami oraz zasady równości szans kobiet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mężczyzn w ramach funduszy unijnych na lata 2014-2020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lastRenderedPageBreak/>
              <w:t>Kryterium obligatoryjne Ocena spełniania kryteriów  polega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W przypadku niespełnienia kryterium wnioskodawca zostanie wezwany </w:t>
            </w:r>
            <w:r w:rsidRPr="00095D43">
              <w:rPr>
                <w:rFonts w:ascii="Arial" w:eastAsia="Calibri" w:hAnsi="Arial" w:cs="Arial"/>
                <w:sz w:val="20"/>
              </w:rPr>
              <w:lastRenderedPageBreak/>
              <w:t>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F308F0">
        <w:trPr>
          <w:trHeight w:val="4131"/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Zgodność projektu z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politykami horyzontalnymi Unii  Europejskiej – zrównoważony rozwój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Weryfikowany będzie pozytywny lub neutralny wpływ projektu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 xml:space="preserve">zasadę horyzontalną UE zrównoważony rozwój: </w:t>
            </w:r>
          </w:p>
          <w:p w:rsidR="00095D43" w:rsidRPr="00095D43" w:rsidRDefault="00095D43" w:rsidP="00ED1A63">
            <w:pPr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Sprawdzane będzie :</w:t>
            </w:r>
          </w:p>
          <w:p w:rsidR="00095D43" w:rsidRPr="00095D43" w:rsidRDefault="00095D43" w:rsidP="00ED1A63">
            <w:pPr>
              <w:pStyle w:val="Akapitzlist"/>
              <w:numPr>
                <w:ilvl w:val="0"/>
                <w:numId w:val="17"/>
              </w:numPr>
              <w:ind w:left="423"/>
              <w:rPr>
                <w:rFonts w:ascii="Arial" w:eastAsia="Calibri" w:hAnsi="Arial" w:cs="Arial"/>
                <w:lang w:val="pl-PL"/>
              </w:rPr>
            </w:pPr>
            <w:r w:rsidRPr="00095D43">
              <w:rPr>
                <w:rFonts w:ascii="Arial" w:eastAsia="Calibri" w:hAnsi="Arial" w:cs="Arial"/>
                <w:lang w:val="pl-PL"/>
              </w:rPr>
              <w:t>czy projekt został przygotowany zgodnie z prawem dotyczącym ochrony środowiska (w brzmieniu obowiązującym na dzień ogłoszenia naboru wniosków o dofinansowanie), w tym: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ustawą z dnia 3 października 2008 r. o udostępnianiu informacji o środowisku i jego ochronie, udziale społeczeństwa w ochronie środowiska oraz ocenach oddziaływania na środowisko,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ustawą z dnia 27 kwietnia 2001 r. Prawo ochrony środowiska,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ustawą z dnia 16 kwietnia 2004 r. o ochronie przyrody,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ustawą z dnia 18 lipca 2001 r. Prawo wodne</w:t>
            </w:r>
          </w:p>
          <w:p w:rsidR="00095D43" w:rsidRPr="00095D43" w:rsidRDefault="00095D43" w:rsidP="00ED1A63">
            <w:pPr>
              <w:pStyle w:val="Akapitzlist"/>
              <w:numPr>
                <w:ilvl w:val="0"/>
                <w:numId w:val="17"/>
              </w:numPr>
              <w:suppressAutoHyphens/>
              <w:spacing w:before="120" w:after="120" w:line="288" w:lineRule="auto"/>
              <w:ind w:left="394"/>
              <w:rPr>
                <w:rFonts w:ascii="Arial" w:hAnsi="Arial" w:cs="Arial"/>
                <w:szCs w:val="18"/>
                <w:lang w:val="pl-PL"/>
              </w:rPr>
            </w:pPr>
            <w:r w:rsidRPr="00095D43">
              <w:rPr>
                <w:rFonts w:ascii="Arial" w:eastAsia="Calibri" w:hAnsi="Arial" w:cs="Arial"/>
                <w:lang w:val="pl-PL"/>
              </w:rPr>
              <w:t>czy projekt odnosi się i określa zdolności do reagowania i</w:t>
            </w:r>
            <w:r w:rsidR="00ED1A63">
              <w:rPr>
                <w:rFonts w:ascii="Arial" w:eastAsia="Calibri" w:hAnsi="Arial" w:cs="Arial"/>
                <w:lang w:val="pl-PL"/>
              </w:rPr>
              <w:t> </w:t>
            </w:r>
            <w:r w:rsidRPr="00095D43">
              <w:rPr>
                <w:rFonts w:ascii="Arial" w:eastAsia="Calibri" w:hAnsi="Arial" w:cs="Arial"/>
                <w:lang w:val="pl-PL"/>
              </w:rPr>
              <w:t>adaptacji do zmian klimatu (w szczególności w obszarze zagrożenia powodziowego)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 – spełnienie kryterium lub neutralny wpływ projektu na zasadę jest niezbędne do przyznania dofinansowania.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zerojedynkowe.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Ocena spełniania kryteriów  polega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Neutralny wpływ projektu na zasadę horyzontalną jest spełnieniem kryterium.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Zamówienia publiczne i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konkurencyjność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Weryfikowana będzie zgodność założeń projektu z przepisami ustawy prawo zamówień publicznych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oraz zasadą konkurencyjności.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 Ocena spełniania kryteriów  polega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Pomoc publiczna i pomoc de minimis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zgodność zapisów we wniosku o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dofinansowanie projektu z zasadami pomocy publicznej/ pomocy de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minimis w odniesieniu do Wnioskodawcy, form wsparcia, wydatków, jak również oceniana będzie możliwość udzielenia w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ramach projektu pomocy publicznej/ pomocy de minimis, uwzględniając reguły ogólne jej przyznawania oraz warunki jej dopuszczalności w danym typie projektu.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snapToGrid w:val="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Ocena spełniania kryteriów polega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 albo stwierdzeniu, że kryterium nie dotyczy danego projektu.</w:t>
            </w:r>
          </w:p>
          <w:p w:rsidR="00095D43" w:rsidRPr="00095D43" w:rsidRDefault="00095D43" w:rsidP="00ED1A63">
            <w:pPr>
              <w:keepNext/>
              <w:snapToGrid w:val="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lastRenderedPageBreak/>
              <w:t>7.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Wykonalność techniczna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wykonalność prawna i techniczna projektu, potrzeba jego realizacji i cele, optymalny wariant, sposób realizacji i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stan po realizacji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 Ocena spełniania kryteriów  polega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 w:val="restar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013" w:type="pct"/>
            <w:vMerge w:val="restar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Trwałość projektu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Weryfikowane będą następujące aspekty, które muszą być spełnione, aby projekt mógł otrzymać dofinansowanie:</w:t>
            </w:r>
          </w:p>
        </w:tc>
        <w:tc>
          <w:tcPr>
            <w:tcW w:w="1611" w:type="pct"/>
            <w:vMerge w:val="restar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 Ocena spełniania kryteriów  polega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 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- Wnioskodawca i/lub partnerzy (jeśli dotyczy) posiada potencjał instytucjonalny do realizacji projektu (posiada lub dostosuje strukturę organizacyjną i procedury zapewniające sprawną realizację projektu).</w:t>
            </w:r>
          </w:p>
        </w:tc>
        <w:tc>
          <w:tcPr>
            <w:tcW w:w="1611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- Wnioskodawca i/lub partnerzy (jeśli dotyczy) posiada potencjał kadrowy do realizacji projektu (posiada zespół projektowy lub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go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stworzy – adekwatny do zakresu zadań w projekcie umożliwiający jego sprawne zarządzanie i realizację).</w:t>
            </w:r>
          </w:p>
        </w:tc>
        <w:tc>
          <w:tcPr>
            <w:tcW w:w="1611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- Wnioskodawca i/lub partnerzy (jeśli dotyczy) posiada potencjał finansowy do realizacji projektu (dysponuje środkami na realizację projektu lub ma możliwość ich pozyskania: wskazał źródła finansowania projektu).</w:t>
            </w:r>
          </w:p>
        </w:tc>
        <w:tc>
          <w:tcPr>
            <w:tcW w:w="1611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trHeight w:val="2587"/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Wskaźniki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poprawność merytoryczna wskaźników.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 Ocena spełniania kryteriów  polega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</w:tbl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953"/>
        <w:gridCol w:w="6522"/>
        <w:gridCol w:w="4329"/>
      </w:tblGrid>
      <w:tr w:rsidR="00095D43" w:rsidRPr="00095D43" w:rsidTr="00ED1A63">
        <w:trPr>
          <w:trHeight w:val="467"/>
          <w:jc w:val="center"/>
        </w:trPr>
        <w:tc>
          <w:tcPr>
            <w:tcW w:w="5000" w:type="pct"/>
            <w:gridSpan w:val="4"/>
            <w:shd w:val="clear" w:color="auto" w:fill="99CC00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MERYTORYCZNE SPECYFICZNE (OBLIGATORYJNE)</w:t>
            </w:r>
          </w:p>
        </w:tc>
      </w:tr>
      <w:tr w:rsidR="00095D43" w:rsidRPr="00095D43" w:rsidTr="00ED1A63">
        <w:trPr>
          <w:trHeight w:val="388"/>
          <w:jc w:val="center"/>
        </w:trPr>
        <w:tc>
          <w:tcPr>
            <w:tcW w:w="169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035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281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DEFINICJA KRYTERIUM</w:t>
            </w:r>
          </w:p>
        </w:tc>
        <w:tc>
          <w:tcPr>
            <w:tcW w:w="1515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OPIS ZNACZENIA KRYTERIUM</w:t>
            </w:r>
          </w:p>
        </w:tc>
      </w:tr>
      <w:tr w:rsidR="00095D43" w:rsidRPr="00095D43" w:rsidTr="00ED1A63">
        <w:trPr>
          <w:trHeight w:val="388"/>
          <w:jc w:val="center"/>
        </w:trPr>
        <w:tc>
          <w:tcPr>
            <w:tcW w:w="169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1708"/>
          <w:jc w:val="center"/>
        </w:trPr>
        <w:tc>
          <w:tcPr>
            <w:tcW w:w="169" w:type="pct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035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Poprawność kosztowa </w:t>
            </w:r>
          </w:p>
        </w:tc>
        <w:tc>
          <w:tcPr>
            <w:tcW w:w="2281" w:type="pct"/>
            <w:vAlign w:val="center"/>
          </w:tcPr>
          <w:p w:rsidR="00095D43" w:rsidRPr="00095D43" w:rsidRDefault="00095D43" w:rsidP="00ED1A63">
            <w:pPr>
              <w:keepNext/>
              <w:keepLines/>
              <w:suppressAutoHyphens/>
              <w:spacing w:before="40"/>
              <w:jc w:val="both"/>
              <w:rPr>
                <w:rFonts w:ascii="Arial" w:hAnsi="Arial" w:cs="Arial"/>
                <w:bCs/>
                <w:sz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 xml:space="preserve">W ramach kryterium weryfikowane 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będzie, czy </w:t>
            </w:r>
            <w:r w:rsidRPr="00095D43">
              <w:rPr>
                <w:rFonts w:ascii="Arial" w:hAnsi="Arial" w:cs="Arial"/>
                <w:bCs/>
                <w:sz w:val="20"/>
              </w:rPr>
              <w:t>maksymalny koszt całkowity każdego oddzielnego i niezależnie funkcjonującego elementu infrastruktury ubiegającego się o dofinansowanie nie przekracza 5 mln EUR. W sytuacji zintegrowanego przedsięwzięcia składającego się z</w:t>
            </w:r>
            <w:r w:rsidR="00ED1A63">
              <w:rPr>
                <w:rFonts w:ascii="Arial" w:hAnsi="Arial" w:cs="Arial"/>
                <w:bCs/>
                <w:sz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</w:rPr>
              <w:t>kilku oddzielnych i niezależnie funkcjonujących elementów infrastruktury, mającego w swojej całości wpływ na rozwój gospodarczy regionu, wskazana wartość progowa może być zastosowana do każdego z elementów infrastruktury osobno i w takim przypadku procedura wyboru zostanie dokonana na poziomie operacji (przedsięwzięcia) zintegrowanej.</w:t>
            </w:r>
          </w:p>
        </w:tc>
        <w:tc>
          <w:tcPr>
            <w:tcW w:w="1515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Ocena spełniania kryteriów  polega na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wskazanym terminie.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1708"/>
          <w:jc w:val="center"/>
        </w:trPr>
        <w:tc>
          <w:tcPr>
            <w:tcW w:w="169" w:type="pct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035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Poprawność programu rewitalizacji</w:t>
            </w:r>
          </w:p>
        </w:tc>
        <w:tc>
          <w:tcPr>
            <w:tcW w:w="2281" w:type="pct"/>
            <w:vAlign w:val="center"/>
          </w:tcPr>
          <w:p w:rsidR="00095D43" w:rsidRPr="00095D43" w:rsidRDefault="00095D43" w:rsidP="00ED1A63">
            <w:pPr>
              <w:keepNext/>
              <w:keepLines/>
              <w:spacing w:before="40" w:after="6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 przypadku projektów wynikających z Programu rewitalizacji CITTASLOW weryfikowane będzie czy program rewitalizacji, z którego wynika zgłoszony projekt, znajduje się w Wykazie pozytywnie zweryfikowanych programów rewitalizacji prowadzonym przez Instytucje Zarządzającą RPO WiM.</w:t>
            </w:r>
          </w:p>
          <w:p w:rsidR="00095D43" w:rsidRPr="00095D43" w:rsidRDefault="00095D43" w:rsidP="00ED1A63">
            <w:pPr>
              <w:keepNext/>
              <w:keepLines/>
              <w:spacing w:before="40" w:after="6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Aby program rewitalizacji znalazł się na takiej liście Instytucja Zarządzająca RPO WiM musi przeprowadzić pozytywną weryfikację spełnienia wymogów dotyczących cech i elementów takich programów określonych w </w:t>
            </w:r>
            <w:r w:rsidRPr="00095D43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Wytycznych w zakresie rewitalizacji w programach operacyjnych na lata 2014-2020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  <w:p w:rsidR="00095D43" w:rsidRPr="00095D43" w:rsidRDefault="00095D43" w:rsidP="00ED1A63">
            <w:pPr>
              <w:keepNext/>
              <w:keepLines/>
              <w:spacing w:before="40" w:after="6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Kryterium będzie weryfikowane w oparciu o listę sprawdzającą w</w:t>
            </w:r>
            <w:r w:rsidR="004555BF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zakresie spójności i poprawności sporządzenia programu rewitalizacji prowadzoną przez Instytucję Zarządzającą RPO WiM, stanowiącą załącznik do regulaminu naboru.</w:t>
            </w:r>
          </w:p>
          <w:p w:rsidR="00095D43" w:rsidRPr="00095D43" w:rsidRDefault="00095D43" w:rsidP="00ED1A63">
            <w:pPr>
              <w:keepNext/>
              <w:keepLines/>
              <w:suppressAutoHyphens/>
              <w:spacing w:before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W przypadku, gdy program rewitalizacji nie znajduje się w wykazie pozytywnie zweryfikowanych programów rewitalizacji, weryfikowane jest czy spełnia on wymogi dotyczące cech i elementów programu rewitalizacji określonych w </w:t>
            </w:r>
            <w:r w:rsidRPr="00095D43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Wytycznych Ministra Rozwoju w zakresie rewitalizacji w programach operacyjnych na lata 2014-2020.</w:t>
            </w:r>
          </w:p>
        </w:tc>
        <w:tc>
          <w:tcPr>
            <w:tcW w:w="1515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 w:after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Kryterium obligatoryjne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 w:after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przypisaniu im wartości logicznych „tak” lub „nie” albo „nie dotyczy”.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wskazanym terminie.</w:t>
            </w:r>
          </w:p>
        </w:tc>
      </w:tr>
    </w:tbl>
    <w:p w:rsid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643B0D" w:rsidRDefault="00643B0D" w:rsidP="00183DE7">
      <w:pPr>
        <w:rPr>
          <w:rFonts w:ascii="Arial" w:hAnsi="Arial" w:cs="Arial"/>
          <w:i/>
          <w:sz w:val="18"/>
          <w:szCs w:val="22"/>
        </w:rPr>
      </w:pPr>
    </w:p>
    <w:p w:rsidR="00643B0D" w:rsidRPr="00095D43" w:rsidRDefault="00643B0D" w:rsidP="00183DE7">
      <w:pPr>
        <w:rPr>
          <w:rFonts w:ascii="Arial" w:hAnsi="Arial" w:cs="Arial"/>
          <w:i/>
          <w:sz w:val="18"/>
          <w:szCs w:val="22"/>
        </w:rPr>
      </w:pPr>
    </w:p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tbl>
      <w:tblPr>
        <w:tblW w:w="13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934"/>
        <w:gridCol w:w="5986"/>
        <w:gridCol w:w="4331"/>
      </w:tblGrid>
      <w:tr w:rsidR="00095D43" w:rsidRPr="00095D43" w:rsidTr="00ED1A63">
        <w:trPr>
          <w:trHeight w:val="59"/>
          <w:jc w:val="center"/>
        </w:trPr>
        <w:tc>
          <w:tcPr>
            <w:tcW w:w="13779" w:type="dxa"/>
            <w:gridSpan w:val="4"/>
            <w:shd w:val="clear" w:color="auto" w:fill="99CC00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MERYTORYCZNE (PUNKTOWE)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(wymagane minimum 50%)</w:t>
            </w:r>
          </w:p>
        </w:tc>
      </w:tr>
      <w:tr w:rsidR="00095D43" w:rsidRPr="00095D43" w:rsidTr="00ED1A63">
        <w:trPr>
          <w:trHeight w:val="366"/>
          <w:jc w:val="center"/>
        </w:trPr>
        <w:tc>
          <w:tcPr>
            <w:tcW w:w="461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43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6021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 xml:space="preserve">DEFINICJA KRYTERIUM </w:t>
            </w:r>
          </w:p>
        </w:tc>
        <w:tc>
          <w:tcPr>
            <w:tcW w:w="4354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OPIS ZNACZENIA KRYTERIUM</w:t>
            </w:r>
          </w:p>
        </w:tc>
      </w:tr>
      <w:tr w:rsidR="00095D43" w:rsidRPr="00095D43" w:rsidTr="00ED1A63">
        <w:trPr>
          <w:trHeight w:val="364"/>
          <w:jc w:val="center"/>
        </w:trPr>
        <w:tc>
          <w:tcPr>
            <w:tcW w:w="461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1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3826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Analiza popytu</w:t>
            </w:r>
          </w:p>
        </w:tc>
        <w:tc>
          <w:tcPr>
            <w:tcW w:w="6021" w:type="dxa"/>
            <w:vAlign w:val="center"/>
          </w:tcPr>
          <w:p w:rsidR="00095D43" w:rsidRPr="00095D43" w:rsidRDefault="00095D43" w:rsidP="00ED1A63">
            <w:pPr>
              <w:suppressAutoHyphens/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Ocenie będzie podlegać prognozowany wzrost popytu na usługi produkowane przez zrealizowany projekt, liczony jako procentowy wzrost liczby odwiedzających wspartą infrastrukturę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sz w:val="20"/>
              </w:rPr>
              <w:t>w ciągu roku od zakończenia realizacji projektu w stosunku do</w:t>
            </w:r>
            <w:r w:rsidR="004555BF">
              <w:rPr>
                <w:rFonts w:ascii="Arial" w:hAnsi="Arial" w:cs="Arial"/>
                <w:sz w:val="20"/>
              </w:rPr>
              <w:t> </w:t>
            </w:r>
            <w:r w:rsidRPr="00095D43">
              <w:rPr>
                <w:rFonts w:ascii="Arial" w:hAnsi="Arial" w:cs="Arial"/>
                <w:sz w:val="20"/>
              </w:rPr>
              <w:t>ostatniego roku przed realizacją projektu. Analiza popytu została przeprowadzona w sposób poprawny i jest wiarygodna (została wykonana na bazie wiarygodnych źródeł szacowanej liczby dodatkowych odwiedzających – poparta jest wynikami badań własnych, zleconych lub ogólnie dostępnych):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brak wzrostu  – 0 pkt;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wzrost do 5% włącznie - 4 pkt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wzrost powyżej 5% do 10% włącznie - 8 pkt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wzrost powyżej 10% – 12 pkt;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Za spełnienie tego kryterium projekt może otrzymać od 0 do 12 pkt (maksymalnie)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1550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Wpływ projektu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na rozwój oferty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turystycznej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Kryterium służy preferowaniu przedsięwzięć ze  względu  na</w:t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przewidywany  wpływ efektów danego projektu na rozwój oferty turystycznej w regionie.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Punkty będą przyznawane za spełnienie następujących warunków: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sz w:val="20"/>
                <w:szCs w:val="20"/>
                <w:u w:val="single"/>
              </w:rPr>
              <w:t xml:space="preserve">1. Wykorzystanie zasobów naturalnych regionu: 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5  pkt – Wnioskodawca  w  sposób  wiarygodny  i  rzetelny  wykazał,  że realizacja  projektu  przyczyni  się  do  rozwijania  lub  dywersyfikacji  oferty turystycznej opartej na zasobach naturalnych regionu,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np. posiada porozumienia z innymi podmiotami pozwalające zaoferować mu kompleksowe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komplementarne usługi, z których będą mogli korzystać użytkownicy wspartej infrastruktury (np. aktywnego wypoczynku, powiązanie z ofertami kulturalnymi, produktami turystycznymi itp.),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0  pkt –</w:t>
            </w:r>
            <w:r w:rsidR="004555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sz w:val="20"/>
                <w:szCs w:val="20"/>
              </w:rPr>
              <w:t>w  przypadku  stwierdzenia,  że  projekt  nie  spełnia  powyższego warunku;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 xml:space="preserve">2. Zdolność do funkcjonowania oferty turystycznej w ciągu roku: 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5 pkt – Wnioskodawca w sposób wiarygodny i rzetelny wykazał, że oferta  turystyczna  udostępniana  w ramach  projektu  będzie  dostępna  dla potencjalnych  odbiorców  niezależnie  od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warunków  pogodowych,  przez okres co najmniej 5 miesięcy w</w:t>
            </w:r>
            <w:r w:rsidR="004555BF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ciągu roku, 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0  pkt –</w:t>
            </w:r>
            <w:r w:rsidR="004555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sz w:val="20"/>
                <w:szCs w:val="20"/>
              </w:rPr>
              <w:t>w  przypadku  stwierdzenia,  że  projekt  nie  spełnia  powyższego warunku;</w:t>
            </w:r>
          </w:p>
          <w:p w:rsid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Punkty w ramach kryterium podlegają sumowaniu.</w:t>
            </w:r>
          </w:p>
          <w:p w:rsidR="00643B0D" w:rsidRPr="00095D43" w:rsidRDefault="00643B0D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Za spełnienie tego kryterium projekt może otrzymać od 0 do 10 pkt (maksymalnie)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283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suppressAutoHyphens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Wpływ na bezpieczeństwo użytkowników, jakość użytkowania, oszczędność zasobów oraz skomunikowanie ze szlakami komunikacyjnymi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 ramach kryterium weryfikowane będzie zaplanowanie w</w:t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projekcie działań zwiększających bezpieczeństwo użytkowników,  także rozwiązania wpływające na poprawę jakości: wszelkie ułatwienia / udogodnienia dla użytkowników, itp.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 ramach kryterium można przyznać następujące punkty:</w:t>
            </w:r>
          </w:p>
          <w:p w:rsidR="00095D43" w:rsidRPr="00095D43" w:rsidRDefault="00095D43" w:rsidP="00ED1A63">
            <w:pPr>
              <w:tabs>
                <w:tab w:val="left" w:pos="655"/>
              </w:tabs>
              <w:suppressAutoHyphens/>
              <w:spacing w:before="40"/>
              <w:ind w:left="655" w:hanging="65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 pkt</w:t>
            </w:r>
            <w:r w:rsidRPr="00095D43">
              <w:rPr>
                <w:rFonts w:ascii="Arial" w:hAnsi="Arial" w:cs="Arial"/>
                <w:sz w:val="20"/>
              </w:rPr>
              <w:t xml:space="preserve"> –</w:t>
            </w:r>
            <w:r w:rsidRPr="00095D43">
              <w:rPr>
                <w:rFonts w:ascii="Arial" w:hAnsi="Arial" w:cs="Arial"/>
                <w:sz w:val="20"/>
                <w:szCs w:val="20"/>
              </w:rPr>
              <w:tab/>
              <w:t xml:space="preserve">projekt wpisuje się lub wykorzystuje Destination Management System (systemu zarządzania turystyką) jako skuteczny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system dystrybucji, w celu umożliwienia sektorowi turystycznemu dotarcia z produktem do rynku oraz ułatwienia procesu rezerwacji różnych form wypoczynku za pośrednictwem Internetu</w:t>
            </w:r>
          </w:p>
          <w:p w:rsidR="00095D43" w:rsidRPr="00095D43" w:rsidRDefault="00095D43" w:rsidP="00ED1A63">
            <w:pPr>
              <w:tabs>
                <w:tab w:val="left" w:pos="655"/>
              </w:tabs>
              <w:suppressAutoHyphens/>
              <w:spacing w:before="40"/>
              <w:ind w:left="655" w:hanging="655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2 pkt</w:t>
            </w:r>
            <w:r w:rsidRPr="00095D43">
              <w:rPr>
                <w:rFonts w:ascii="Arial" w:hAnsi="Arial" w:cs="Arial"/>
                <w:color w:val="000000"/>
                <w:sz w:val="20"/>
              </w:rPr>
              <w:t xml:space="preserve"> –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rojekt obejmuje skomunikowanie wspartej infrastruktury </w:t>
            </w:r>
            <w:r w:rsidRPr="00095D43">
              <w:rPr>
                <w:rFonts w:ascii="Arial" w:hAnsi="Arial" w:cs="Arial"/>
                <w:color w:val="000000"/>
                <w:sz w:val="20"/>
              </w:rPr>
              <w:t xml:space="preserve">ze szlakami turystycznymi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lub </w:t>
            </w:r>
            <w:r w:rsidRPr="00095D43">
              <w:rPr>
                <w:rFonts w:ascii="Arial" w:hAnsi="Arial" w:cs="Arial"/>
                <w:color w:val="000000"/>
                <w:sz w:val="20"/>
              </w:rPr>
              <w:t>ciągami pieszymi lub ciągami komunikacyjnymi umożliwiającymi dostęp m.in. służbom ratunkowym lub obsłudze technicznej</w:t>
            </w:r>
          </w:p>
          <w:p w:rsidR="00095D43" w:rsidRPr="00095D43" w:rsidRDefault="00095D43" w:rsidP="00ED1A63">
            <w:pPr>
              <w:tabs>
                <w:tab w:val="left" w:pos="655"/>
              </w:tabs>
              <w:suppressAutoHyphens/>
              <w:spacing w:before="40"/>
              <w:ind w:left="655" w:hanging="6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1 pkt</w:t>
            </w:r>
            <w:r w:rsidRPr="00095D43">
              <w:rPr>
                <w:rFonts w:ascii="Arial" w:hAnsi="Arial" w:cs="Arial"/>
                <w:color w:val="000000"/>
                <w:sz w:val="20"/>
              </w:rPr>
              <w:t xml:space="preserve"> –</w:t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ab/>
              <w:t>p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rojekt obejmuje odpowiednie (przyjazne dla użytkowników) zagospodaro</w:t>
            </w:r>
            <w:r w:rsidRPr="00095D43">
              <w:rPr>
                <w:rFonts w:ascii="Arial" w:hAnsi="Arial" w:cs="Arial"/>
                <w:sz w:val="20"/>
                <w:szCs w:val="20"/>
              </w:rPr>
              <w:t>wanie terenu wokół obiektów turystycznych i okołoturystycznych (m.in. budowa miejsc parkingowych)</w:t>
            </w:r>
          </w:p>
          <w:p w:rsid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Punkty w ramach kryterium podlegają sumowaniu.</w:t>
            </w:r>
            <w:r w:rsidRPr="00095D43">
              <w:rPr>
                <w:rFonts w:ascii="Arial" w:hAnsi="Arial" w:cs="Arial"/>
                <w:sz w:val="20"/>
              </w:rPr>
              <w:t xml:space="preserve"> Projekt uzyskuje 0 pkt, jeżeli nie spełnia żadnego warunku.</w:t>
            </w:r>
          </w:p>
          <w:p w:rsidR="00643B0D" w:rsidRPr="00095D43" w:rsidRDefault="00643B0D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otrzymać od 0 do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 pkt (maksymalnie). 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643B0D">
        <w:trPr>
          <w:trHeight w:val="845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ED1A63">
            <w:pPr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Poziom wkładu własnego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Ocenie podlega zadeklarowany przez Wnioskodawcę poziom wkładu własnego wg następującej punktacji</w:t>
            </w:r>
          </w:p>
          <w:p w:rsidR="00095D43" w:rsidRPr="00095D43" w:rsidRDefault="00095D43" w:rsidP="00ED1A6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pow. 0 do 2 pkt proc. powyżej minimalnego poziomu wkładu własnego – 3 pkt</w:t>
            </w:r>
          </w:p>
          <w:p w:rsidR="00095D43" w:rsidRPr="00095D43" w:rsidRDefault="00095D43" w:rsidP="00ED1A6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lastRenderedPageBreak/>
              <w:t>pow. 2 do 4 pkt proc. powyżej minimalnego poziomu wkładu własnego – 4 pkt</w:t>
            </w:r>
          </w:p>
          <w:p w:rsidR="00095D43" w:rsidRPr="00095D43" w:rsidRDefault="00095D43" w:rsidP="00ED1A6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pow. 4 pkt proc.  powyżej minimalnego poziomu wkładu własnego – 5 pkt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</w:t>
            </w: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otrzymać od 0 do 5 pkt (maksymalnie)</w:t>
            </w:r>
          </w:p>
        </w:tc>
      </w:tr>
      <w:tr w:rsidR="00095D43" w:rsidRPr="00095D43" w:rsidTr="00ED1A63">
        <w:trPr>
          <w:trHeight w:val="835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Gotowość projektu do realizacji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Kryterium punktuje projekty gotowe do realizacji, tj.: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0 pkt – gdy brak gotowości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2 pkt – gdy projekt posiada pozwolenia / zgłoszenia na budowę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3 pkt – gdy projekt ma ogłoszone postępowania przetargowe / upublicznione zaproszenie do składania ofert (w trybie konkurencyjnym)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4 pkt – gdy projekt ma wybranego wykonawcę robót budowlanych i jest gotowy do realizacji, lub nie wymaga żadnych pozwoleń i jest gotowy do realizacji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Punkty w ramach kryterium nie sumują się.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Kryterium punktowe – przyznanie 0 punktów nie dyskwalifikuje z możliwości uzyskania dofinansowania.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otrzymać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od 0 do 4 punktów </w:t>
            </w:r>
            <w:r w:rsidRPr="00095D43">
              <w:rPr>
                <w:rFonts w:ascii="Arial" w:hAnsi="Arial" w:cs="Arial"/>
                <w:sz w:val="20"/>
                <w:szCs w:val="20"/>
              </w:rPr>
              <w:t>(maksymalnie)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95D43" w:rsidRPr="00095D43" w:rsidTr="00ED1A63">
        <w:trPr>
          <w:trHeight w:val="89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suppressAutoHyphens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Wpływ na rozwiązanie wszystkich zdiagnozowanych problemów kluczowych interesariuszy.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Weryfikowane będzie rozwiązanie przez projekt wszystkich naglących problemów kluczowych interesariuszy.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 ramach kryterium można przyznać następujące punkty: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0 pkt – projekt przyczynia się do rozwiązania  wybranych problemów kluczowych interesariuszy w obszarze objętym projektem</w:t>
            </w:r>
          </w:p>
          <w:p w:rsid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 pkt – projekt przyczynia się do rozwiązania wszystkich zdiagnozowanych problemów kluczowych interesariuszy w</w:t>
            </w:r>
            <w:r w:rsidR="004555BF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obszarze objętym projektem</w:t>
            </w:r>
          </w:p>
          <w:p w:rsidR="00643B0D" w:rsidRPr="00095D43" w:rsidRDefault="00643B0D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–przyznanie 0 punktów nie dyskwalifikuje z możliwości uzyskania dofinansowania.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Za spełnienie tego kryterium projekt może otrzymać od 0 do 1 pkt (maksymalnie)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F308F0">
        <w:trPr>
          <w:trHeight w:val="2497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suppressAutoHyphens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Realizacja kilku komplementarnych celów.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Weryfikowane będzie realizowanie przez projekt kilku różnych, ale uzupełniających się celów wynikających z analizy sytuacji problemowej 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 ramach kryterium można przyznać następujące punkty: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0 pkt – projekt realizuje jeden cel 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 pkt – projekt realizuje kilka uzupełniających się celów wymagających odrębnych działań.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–przyznanie 0 punktów nie dyskwalifikuje z możliwości uzyskania dofinansowania.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otrzymać  od 0 do 1 pkt (maksymalnie) 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9"/>
          <w:jc w:val="center"/>
        </w:trPr>
        <w:tc>
          <w:tcPr>
            <w:tcW w:w="13779" w:type="dxa"/>
            <w:gridSpan w:val="4"/>
            <w:shd w:val="clear" w:color="auto" w:fill="C5E0B3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ind w:left="7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Maksymalna liczba punktów: 38</w:t>
            </w:r>
            <w:r w:rsidR="004555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b/>
                <w:sz w:val="20"/>
                <w:szCs w:val="20"/>
              </w:rPr>
              <w:t xml:space="preserve">pkt </w:t>
            </w:r>
          </w:p>
        </w:tc>
      </w:tr>
    </w:tbl>
    <w:p w:rsidR="0001183A" w:rsidRPr="00095D43" w:rsidRDefault="0001183A" w:rsidP="00643B0D">
      <w:pPr>
        <w:rPr>
          <w:rFonts w:ascii="Arial" w:hAnsi="Arial" w:cs="Arial"/>
          <w:sz w:val="22"/>
          <w:szCs w:val="22"/>
        </w:rPr>
      </w:pPr>
    </w:p>
    <w:sectPr w:rsidR="0001183A" w:rsidRPr="00095D43" w:rsidSect="00686D4F">
      <w:footerReference w:type="default" r:id="rId9"/>
      <w:pgSz w:w="16838" w:h="11906" w:orient="landscape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A71" w:rsidRDefault="003F6A71" w:rsidP="00874EF2">
      <w:r>
        <w:separator/>
      </w:r>
    </w:p>
  </w:endnote>
  <w:endnote w:type="continuationSeparator" w:id="0">
    <w:p w:rsidR="003F6A71" w:rsidRDefault="003F6A71" w:rsidP="0087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17674"/>
      <w:docPartObj>
        <w:docPartGallery w:val="Page Numbers (Bottom of Page)"/>
        <w:docPartUnique/>
      </w:docPartObj>
    </w:sdtPr>
    <w:sdtEndPr/>
    <w:sdtContent>
      <w:p w:rsidR="00ED1A63" w:rsidRDefault="00ED1A63" w:rsidP="00124A63">
        <w:pPr>
          <w:pStyle w:val="Stopka"/>
          <w:jc w:val="center"/>
        </w:pPr>
      </w:p>
      <w:p w:rsidR="00ED1A63" w:rsidRDefault="00343FD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D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D1A63" w:rsidRDefault="00ED1A63" w:rsidP="00C7281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A71" w:rsidRDefault="003F6A71" w:rsidP="00874EF2">
      <w:r>
        <w:separator/>
      </w:r>
    </w:p>
  </w:footnote>
  <w:footnote w:type="continuationSeparator" w:id="0">
    <w:p w:rsidR="003F6A71" w:rsidRDefault="003F6A71" w:rsidP="00874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841CC"/>
    <w:multiLevelType w:val="hybridMultilevel"/>
    <w:tmpl w:val="90A6C61C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33D27"/>
    <w:multiLevelType w:val="hybridMultilevel"/>
    <w:tmpl w:val="877ACBCC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E2F87"/>
    <w:multiLevelType w:val="hybridMultilevel"/>
    <w:tmpl w:val="671AB36C"/>
    <w:lvl w:ilvl="0" w:tplc="3FD8AE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C52BC"/>
    <w:multiLevelType w:val="hybridMultilevel"/>
    <w:tmpl w:val="7B5E325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54025"/>
    <w:multiLevelType w:val="hybridMultilevel"/>
    <w:tmpl w:val="1E04CAA0"/>
    <w:lvl w:ilvl="0" w:tplc="FCA8497C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325B3"/>
    <w:multiLevelType w:val="hybridMultilevel"/>
    <w:tmpl w:val="E604A79A"/>
    <w:lvl w:ilvl="0" w:tplc="FCA8497C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13E98"/>
    <w:multiLevelType w:val="hybridMultilevel"/>
    <w:tmpl w:val="318A042E"/>
    <w:lvl w:ilvl="0" w:tplc="639EFFC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E04A0"/>
    <w:multiLevelType w:val="hybridMultilevel"/>
    <w:tmpl w:val="5A34FEDE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0579A"/>
    <w:multiLevelType w:val="hybridMultilevel"/>
    <w:tmpl w:val="0D54A948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16613"/>
    <w:multiLevelType w:val="hybridMultilevel"/>
    <w:tmpl w:val="4E403F14"/>
    <w:lvl w:ilvl="0" w:tplc="639EFFC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077C1"/>
    <w:multiLevelType w:val="hybridMultilevel"/>
    <w:tmpl w:val="F6DA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12592"/>
    <w:multiLevelType w:val="hybridMultilevel"/>
    <w:tmpl w:val="B302FFD0"/>
    <w:lvl w:ilvl="0" w:tplc="21EC9E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476D63"/>
    <w:multiLevelType w:val="hybridMultilevel"/>
    <w:tmpl w:val="797CFEFC"/>
    <w:lvl w:ilvl="0" w:tplc="0BBA6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12"/>
  </w:num>
  <w:num w:numId="6">
    <w:abstractNumId w:val="0"/>
  </w:num>
  <w:num w:numId="7">
    <w:abstractNumId w:val="14"/>
  </w:num>
  <w:num w:numId="8">
    <w:abstractNumId w:val="7"/>
  </w:num>
  <w:num w:numId="9">
    <w:abstractNumId w:val="15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</w:num>
  <w:num w:numId="15">
    <w:abstractNumId w:val="5"/>
  </w:num>
  <w:num w:numId="16">
    <w:abstractNumId w:val="6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745"/>
    <w:rsid w:val="00010DCD"/>
    <w:rsid w:val="0001183A"/>
    <w:rsid w:val="00012933"/>
    <w:rsid w:val="000150EA"/>
    <w:rsid w:val="00027E7F"/>
    <w:rsid w:val="00031D46"/>
    <w:rsid w:val="00065BF2"/>
    <w:rsid w:val="00067E94"/>
    <w:rsid w:val="0008069A"/>
    <w:rsid w:val="00084F66"/>
    <w:rsid w:val="00090870"/>
    <w:rsid w:val="00095D43"/>
    <w:rsid w:val="000B59C2"/>
    <w:rsid w:val="000C1C1C"/>
    <w:rsid w:val="000E29ED"/>
    <w:rsid w:val="000F1373"/>
    <w:rsid w:val="00100A19"/>
    <w:rsid w:val="001064DF"/>
    <w:rsid w:val="00124A63"/>
    <w:rsid w:val="00133033"/>
    <w:rsid w:val="00162015"/>
    <w:rsid w:val="00163923"/>
    <w:rsid w:val="001678BC"/>
    <w:rsid w:val="001777EA"/>
    <w:rsid w:val="00183DE7"/>
    <w:rsid w:val="00190DBE"/>
    <w:rsid w:val="001A5DA5"/>
    <w:rsid w:val="001E7C5A"/>
    <w:rsid w:val="002318F3"/>
    <w:rsid w:val="00247D57"/>
    <w:rsid w:val="0028611F"/>
    <w:rsid w:val="002A64F4"/>
    <w:rsid w:val="002C5CDB"/>
    <w:rsid w:val="002C6A06"/>
    <w:rsid w:val="002D0E08"/>
    <w:rsid w:val="002D1559"/>
    <w:rsid w:val="002D7EB9"/>
    <w:rsid w:val="002D7F26"/>
    <w:rsid w:val="002E34A2"/>
    <w:rsid w:val="00303183"/>
    <w:rsid w:val="00303CE0"/>
    <w:rsid w:val="0034123A"/>
    <w:rsid w:val="00343FDA"/>
    <w:rsid w:val="00363BB3"/>
    <w:rsid w:val="0037309D"/>
    <w:rsid w:val="003765BE"/>
    <w:rsid w:val="00381135"/>
    <w:rsid w:val="003C5E22"/>
    <w:rsid w:val="003E15DC"/>
    <w:rsid w:val="003E1644"/>
    <w:rsid w:val="003F6A71"/>
    <w:rsid w:val="003F6E05"/>
    <w:rsid w:val="00441506"/>
    <w:rsid w:val="00453E7A"/>
    <w:rsid w:val="004555BF"/>
    <w:rsid w:val="0046307F"/>
    <w:rsid w:val="00464DEE"/>
    <w:rsid w:val="00477494"/>
    <w:rsid w:val="004A05CE"/>
    <w:rsid w:val="004B00A2"/>
    <w:rsid w:val="004B1B79"/>
    <w:rsid w:val="004B7B9D"/>
    <w:rsid w:val="004E7C1D"/>
    <w:rsid w:val="004F3957"/>
    <w:rsid w:val="005044BE"/>
    <w:rsid w:val="00507FF8"/>
    <w:rsid w:val="00515947"/>
    <w:rsid w:val="00521952"/>
    <w:rsid w:val="00553CB9"/>
    <w:rsid w:val="00555C9D"/>
    <w:rsid w:val="00564D4F"/>
    <w:rsid w:val="005747EA"/>
    <w:rsid w:val="00580AC1"/>
    <w:rsid w:val="00581B49"/>
    <w:rsid w:val="005B065C"/>
    <w:rsid w:val="005C7186"/>
    <w:rsid w:val="005E0199"/>
    <w:rsid w:val="005E793C"/>
    <w:rsid w:val="005F23FC"/>
    <w:rsid w:val="005F4D95"/>
    <w:rsid w:val="00606E54"/>
    <w:rsid w:val="006148C7"/>
    <w:rsid w:val="00643B0D"/>
    <w:rsid w:val="006720A4"/>
    <w:rsid w:val="0068063E"/>
    <w:rsid w:val="00686D4F"/>
    <w:rsid w:val="006D4B9F"/>
    <w:rsid w:val="006F5BCE"/>
    <w:rsid w:val="007070BC"/>
    <w:rsid w:val="00715B52"/>
    <w:rsid w:val="00717A21"/>
    <w:rsid w:val="00722893"/>
    <w:rsid w:val="00773354"/>
    <w:rsid w:val="00795800"/>
    <w:rsid w:val="00820EFC"/>
    <w:rsid w:val="0084760C"/>
    <w:rsid w:val="008477B4"/>
    <w:rsid w:val="00850059"/>
    <w:rsid w:val="00873AB8"/>
    <w:rsid w:val="00874EF2"/>
    <w:rsid w:val="0088573C"/>
    <w:rsid w:val="008A24AD"/>
    <w:rsid w:val="008A5849"/>
    <w:rsid w:val="008C1372"/>
    <w:rsid w:val="008D0E31"/>
    <w:rsid w:val="008D68EE"/>
    <w:rsid w:val="008E4F64"/>
    <w:rsid w:val="00907A08"/>
    <w:rsid w:val="00921C05"/>
    <w:rsid w:val="00934E19"/>
    <w:rsid w:val="0096471C"/>
    <w:rsid w:val="00967B96"/>
    <w:rsid w:val="00980F53"/>
    <w:rsid w:val="009A3635"/>
    <w:rsid w:val="00A509A3"/>
    <w:rsid w:val="00A5343F"/>
    <w:rsid w:val="00A53CA0"/>
    <w:rsid w:val="00A654BB"/>
    <w:rsid w:val="00A926C9"/>
    <w:rsid w:val="00AC35A0"/>
    <w:rsid w:val="00AC380D"/>
    <w:rsid w:val="00AD11EE"/>
    <w:rsid w:val="00AD5694"/>
    <w:rsid w:val="00AE333C"/>
    <w:rsid w:val="00AE5012"/>
    <w:rsid w:val="00AE5999"/>
    <w:rsid w:val="00AF0F93"/>
    <w:rsid w:val="00AF6374"/>
    <w:rsid w:val="00B17745"/>
    <w:rsid w:val="00B24908"/>
    <w:rsid w:val="00B2520D"/>
    <w:rsid w:val="00B4341E"/>
    <w:rsid w:val="00B52D0B"/>
    <w:rsid w:val="00B540FF"/>
    <w:rsid w:val="00B55C69"/>
    <w:rsid w:val="00B6353C"/>
    <w:rsid w:val="00B867C3"/>
    <w:rsid w:val="00BC6DED"/>
    <w:rsid w:val="00BE7FE2"/>
    <w:rsid w:val="00BF27E2"/>
    <w:rsid w:val="00C02FF7"/>
    <w:rsid w:val="00C10AD7"/>
    <w:rsid w:val="00C272B8"/>
    <w:rsid w:val="00C30EA4"/>
    <w:rsid w:val="00C348D8"/>
    <w:rsid w:val="00C72811"/>
    <w:rsid w:val="00C9523D"/>
    <w:rsid w:val="00CC6D3F"/>
    <w:rsid w:val="00D04415"/>
    <w:rsid w:val="00D522BA"/>
    <w:rsid w:val="00E10EDD"/>
    <w:rsid w:val="00E95948"/>
    <w:rsid w:val="00EC2AB5"/>
    <w:rsid w:val="00ED1340"/>
    <w:rsid w:val="00ED1A63"/>
    <w:rsid w:val="00F0676F"/>
    <w:rsid w:val="00F16A0F"/>
    <w:rsid w:val="00F16E82"/>
    <w:rsid w:val="00F308F0"/>
    <w:rsid w:val="00F62C37"/>
    <w:rsid w:val="00F721A7"/>
    <w:rsid w:val="00F95C4A"/>
    <w:rsid w:val="00F96A22"/>
    <w:rsid w:val="00FC78A6"/>
    <w:rsid w:val="00FE4785"/>
    <w:rsid w:val="00FF2F62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10C002-0350-4B44-B668-1A65F4E2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B17745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table" w:styleId="Tabela-Siatka">
    <w:name w:val="Table Grid"/>
    <w:basedOn w:val="Standardowy"/>
    <w:uiPriority w:val="59"/>
    <w:rsid w:val="00B17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7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2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F5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0118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509A3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A509A3"/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1F82B-F5EB-47FA-91D0-FCA5D6C3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2992</Words>
  <Characters>17958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Patrycja Lemańczyk-Zalewska</cp:lastModifiedBy>
  <cp:revision>8</cp:revision>
  <cp:lastPrinted>2017-05-04T08:32:00Z</cp:lastPrinted>
  <dcterms:created xsi:type="dcterms:W3CDTF">2017-04-20T14:10:00Z</dcterms:created>
  <dcterms:modified xsi:type="dcterms:W3CDTF">2017-06-30T08:31:00Z</dcterms:modified>
</cp:coreProperties>
</file>